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00" w:rsidRPr="001210BB" w:rsidRDefault="00616100" w:rsidP="00616100">
      <w:pPr>
        <w:rPr>
          <w:rFonts w:ascii="Arial" w:hAnsi="Arial" w:cs="Arial"/>
          <w:b/>
          <w:color w:val="4F81BD"/>
          <w:sz w:val="32"/>
          <w:szCs w:val="32"/>
        </w:rPr>
      </w:pPr>
      <w:r w:rsidRPr="001210BB">
        <w:rPr>
          <w:rFonts w:ascii="Arial" w:hAnsi="Arial" w:cs="Arial"/>
          <w:b/>
          <w:color w:val="4F81BD"/>
          <w:sz w:val="32"/>
          <w:szCs w:val="32"/>
        </w:rPr>
        <w:t>Curriculum</w:t>
      </w:r>
      <w:r>
        <w:rPr>
          <w:rFonts w:ascii="Arial" w:hAnsi="Arial" w:cs="Arial"/>
          <w:b/>
          <w:color w:val="4F81BD"/>
          <w:sz w:val="32"/>
          <w:szCs w:val="32"/>
        </w:rPr>
        <w:t xml:space="preserve"> Introduction</w:t>
      </w:r>
    </w:p>
    <w:p w:rsidR="00616100" w:rsidRDefault="00616100" w:rsidP="00616100">
      <w:pPr>
        <w:spacing w:line="240" w:lineRule="auto"/>
        <w:rPr>
          <w:rFonts w:ascii="Arial" w:hAnsi="Arial" w:cs="Arial"/>
          <w:sz w:val="24"/>
          <w:szCs w:val="24"/>
        </w:rPr>
      </w:pPr>
      <w:r w:rsidRPr="00C165E3">
        <w:rPr>
          <w:rFonts w:ascii="Arial" w:hAnsi="Arial" w:cs="Arial"/>
          <w:sz w:val="24"/>
          <w:szCs w:val="24"/>
        </w:rPr>
        <w:t>This cu</w:t>
      </w:r>
      <w:r>
        <w:rPr>
          <w:rFonts w:ascii="Arial" w:hAnsi="Arial" w:cs="Arial"/>
          <w:sz w:val="24"/>
          <w:szCs w:val="24"/>
        </w:rPr>
        <w:t xml:space="preserve">rriculum provides an instructional approach for the delivery of career services, and it is multimedia-based.  The curriculum can be delivered by instructors, counselors, or advisors. It also can be used as the nucleus of a three-credit course.  The nine instructional modules (units of curriculum) target specific community college counseling goals and are structured around behavioral objectives.  </w:t>
      </w:r>
    </w:p>
    <w:p w:rsidR="00616100" w:rsidRDefault="00616100" w:rsidP="00616100">
      <w:pPr>
        <w:spacing w:line="240" w:lineRule="auto"/>
        <w:rPr>
          <w:rFonts w:ascii="Arial" w:hAnsi="Arial" w:cs="Arial"/>
          <w:sz w:val="24"/>
          <w:szCs w:val="24"/>
        </w:rPr>
      </w:pPr>
      <w:r>
        <w:rPr>
          <w:rFonts w:ascii="Arial" w:hAnsi="Arial" w:cs="Arial"/>
          <w:sz w:val="24"/>
          <w:szCs w:val="24"/>
        </w:rPr>
        <w:t>These objectives provide a great opportunity for accountability in the evaluation of services, as they are behavioral objectives, and assessments of lesson objectives are linked to the behavioral indicators of the National Career Development guidelines.  Effectiveness of materials and instruction can be measured in relation to specific objectives. So the system offers the ability for continual upgrading and enhancement of each instructional unit. As information and technology change, the curriculum can be readily upgraded to keep pace.  And as new needs emerge, additional modules can be developed and added.</w:t>
      </w:r>
    </w:p>
    <w:p w:rsidR="00616100" w:rsidRDefault="00616100" w:rsidP="00616100">
      <w:pPr>
        <w:spacing w:line="240" w:lineRule="auto"/>
        <w:rPr>
          <w:rFonts w:ascii="Arial" w:hAnsi="Arial" w:cs="Arial"/>
          <w:sz w:val="24"/>
          <w:szCs w:val="24"/>
        </w:rPr>
      </w:pPr>
      <w:r>
        <w:rPr>
          <w:rFonts w:ascii="Arial" w:hAnsi="Arial" w:cs="Arial"/>
          <w:sz w:val="24"/>
          <w:szCs w:val="24"/>
        </w:rPr>
        <w:t xml:space="preserve">Each module stands independently.  One instructor might choose to conduct a module linked to choosing a major; a business instructor might choose lessons on labor market forecasting; a discovery program instructor might seek some fresh materials on integrating lifestyle and career. This curriculum makes all of these options possible.  This multifaceted approach eliminates the necessity of prescribing the same services for everyone.  </w:t>
      </w:r>
    </w:p>
    <w:p w:rsidR="00616100" w:rsidRDefault="00616100" w:rsidP="00616100">
      <w:pPr>
        <w:spacing w:line="240" w:lineRule="auto"/>
        <w:rPr>
          <w:rFonts w:ascii="Arial" w:hAnsi="Arial" w:cs="Arial"/>
          <w:sz w:val="24"/>
          <w:szCs w:val="24"/>
        </w:rPr>
      </w:pPr>
      <w:r>
        <w:rPr>
          <w:rFonts w:ascii="Arial" w:hAnsi="Arial" w:cs="Arial"/>
          <w:sz w:val="24"/>
          <w:szCs w:val="24"/>
        </w:rPr>
        <w:t>Hopefully, this model also provides an attractive means of engaging instructional staff in career exploration activities that are goal and outcome-driven.  According to author Vernon Zunker, career services that provide the opportunity to identify goals and desired outcomes have much greater instructional appeal and better assist the student in identifying expectations of career services.</w:t>
      </w:r>
      <w:r>
        <w:rPr>
          <w:rStyle w:val="EndnoteReference"/>
          <w:rFonts w:ascii="Arial" w:hAnsi="Arial" w:cs="Arial"/>
          <w:sz w:val="24"/>
          <w:szCs w:val="24"/>
        </w:rPr>
        <w:endnoteReference w:id="2"/>
      </w:r>
    </w:p>
    <w:p w:rsidR="006C1D80" w:rsidRDefault="00616100" w:rsidP="00616100">
      <w:pPr>
        <w:spacing w:line="240" w:lineRule="auto"/>
        <w:rPr>
          <w:rFonts w:ascii="Arial" w:hAnsi="Arial" w:cs="Arial"/>
          <w:sz w:val="24"/>
          <w:szCs w:val="24"/>
        </w:rPr>
      </w:pPr>
      <w:r>
        <w:rPr>
          <w:rFonts w:ascii="Arial" w:hAnsi="Arial" w:cs="Arial"/>
          <w:sz w:val="24"/>
          <w:szCs w:val="24"/>
        </w:rPr>
        <w:t>Each unit includes a multimedia PowerPoint presentation, designed to be projected amid instruction.  Alternatively, slides can be printed from these presentations and used as overheads.  Detailed lecture notes regarding the use of these materials are included when necessary.  Step-by-step instructions for the full delivery of each module are provided, as well as a listing of materials, precursory preparation steps and assessment strategies.</w:t>
      </w:r>
      <w:r w:rsidR="004E731E">
        <w:rPr>
          <w:rFonts w:ascii="Arial" w:hAnsi="Arial" w:cs="Arial"/>
          <w:sz w:val="24"/>
          <w:szCs w:val="24"/>
        </w:rPr>
        <w:t xml:space="preserve">  </w:t>
      </w:r>
    </w:p>
    <w:p w:rsidR="00616100" w:rsidRDefault="00616100" w:rsidP="00616100">
      <w:pPr>
        <w:spacing w:line="240" w:lineRule="auto"/>
        <w:rPr>
          <w:rFonts w:ascii="Arial" w:eastAsia="Times New Roman" w:hAnsi="Arial" w:cs="Arial"/>
          <w:sz w:val="24"/>
          <w:szCs w:val="24"/>
        </w:rPr>
      </w:pPr>
      <w:r>
        <w:rPr>
          <w:rFonts w:ascii="Arial" w:hAnsi="Arial" w:cs="Arial"/>
          <w:sz w:val="24"/>
          <w:szCs w:val="24"/>
        </w:rPr>
        <w:t xml:space="preserve">Career-related </w:t>
      </w:r>
      <w:r w:rsidRPr="00786F57">
        <w:rPr>
          <w:rFonts w:ascii="Arial" w:eastAsia="Times New Roman" w:hAnsi="Arial" w:cs="Arial"/>
          <w:sz w:val="24"/>
          <w:szCs w:val="24"/>
        </w:rPr>
        <w:t xml:space="preserve">problem solving and decision-making </w:t>
      </w:r>
      <w:r>
        <w:rPr>
          <w:rFonts w:ascii="Arial" w:eastAsia="Times New Roman" w:hAnsi="Arial" w:cs="Arial"/>
          <w:sz w:val="24"/>
          <w:szCs w:val="24"/>
        </w:rPr>
        <w:t>are cyclical, according to CIP theory, and students need to both understand this cycle and where they are within the cycle.  The cycles can be remembered by using the mnemonic “CASVE,” pictured in Figure 1 below, where you will see that CASVE stands for:</w:t>
      </w:r>
    </w:p>
    <w:p w:rsidR="00616100" w:rsidRPr="00076C3B" w:rsidRDefault="00616100" w:rsidP="00616100">
      <w:pPr>
        <w:tabs>
          <w:tab w:val="left" w:pos="432"/>
          <w:tab w:val="left" w:pos="864"/>
          <w:tab w:val="left" w:pos="1296"/>
          <w:tab w:val="left" w:pos="1728"/>
        </w:tabs>
        <w:spacing w:after="0" w:line="240"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Step 1: </w:t>
      </w:r>
      <w:r w:rsidRPr="00076C3B">
        <w:rPr>
          <w:rFonts w:ascii="Arial" w:hAnsi="Arial" w:cs="Arial"/>
          <w:b/>
          <w:sz w:val="24"/>
          <w:szCs w:val="24"/>
        </w:rPr>
        <w:t>Communication</w:t>
      </w:r>
    </w:p>
    <w:p w:rsidR="00616100" w:rsidRDefault="00616100" w:rsidP="00616100">
      <w:pPr>
        <w:tabs>
          <w:tab w:val="left" w:pos="432"/>
          <w:tab w:val="left" w:pos="864"/>
          <w:tab w:val="left" w:pos="1296"/>
          <w:tab w:val="left" w:pos="1728"/>
        </w:tabs>
        <w:spacing w:after="0" w:line="240" w:lineRule="auto"/>
        <w:ind w:left="864" w:hanging="432"/>
        <w:rPr>
          <w:rFonts w:ascii="Arial" w:hAnsi="Arial" w:cs="Arial"/>
          <w:i/>
          <w:sz w:val="24"/>
          <w:szCs w:val="24"/>
        </w:rPr>
      </w:pPr>
    </w:p>
    <w:p w:rsidR="00616100" w:rsidRPr="00BB160C" w:rsidRDefault="00616100" w:rsidP="00616100">
      <w:pPr>
        <w:tabs>
          <w:tab w:val="left" w:pos="432"/>
          <w:tab w:val="left" w:pos="864"/>
          <w:tab w:val="left" w:pos="1296"/>
          <w:tab w:val="left" w:pos="1728"/>
        </w:tabs>
        <w:spacing w:after="0" w:line="240" w:lineRule="auto"/>
        <w:ind w:left="360"/>
        <w:rPr>
          <w:rFonts w:ascii="Arial" w:hAnsi="Arial" w:cs="Arial"/>
          <w:sz w:val="24"/>
          <w:szCs w:val="24"/>
        </w:rPr>
      </w:pPr>
      <w:r>
        <w:rPr>
          <w:rFonts w:ascii="Arial" w:hAnsi="Arial" w:cs="Arial"/>
          <w:sz w:val="24"/>
          <w:szCs w:val="24"/>
        </w:rPr>
        <w:t>An articulated</w:t>
      </w:r>
      <w:r w:rsidRPr="00BB160C">
        <w:rPr>
          <w:rFonts w:ascii="Arial" w:hAnsi="Arial" w:cs="Arial"/>
          <w:sz w:val="24"/>
          <w:szCs w:val="24"/>
        </w:rPr>
        <w:t xml:space="preserve"> external deman</w:t>
      </w:r>
      <w:r>
        <w:rPr>
          <w:rFonts w:ascii="Arial" w:hAnsi="Arial" w:cs="Arial"/>
          <w:sz w:val="24"/>
          <w:szCs w:val="24"/>
        </w:rPr>
        <w:t>d may serve as the communication prompt;</w:t>
      </w:r>
      <w:r w:rsidRPr="00BB160C">
        <w:rPr>
          <w:rFonts w:ascii="Arial" w:hAnsi="Arial" w:cs="Arial"/>
          <w:sz w:val="24"/>
          <w:szCs w:val="24"/>
        </w:rPr>
        <w:t xml:space="preserve"> for example: "I need to choose a major by next semester." </w:t>
      </w:r>
      <w:r>
        <w:rPr>
          <w:rFonts w:ascii="Arial" w:hAnsi="Arial" w:cs="Arial"/>
          <w:sz w:val="24"/>
          <w:szCs w:val="24"/>
        </w:rPr>
        <w:t xml:space="preserve"> Alternatively, a s</w:t>
      </w:r>
      <w:r w:rsidRPr="00BB160C">
        <w:rPr>
          <w:rFonts w:ascii="Arial" w:hAnsi="Arial" w:cs="Arial"/>
          <w:sz w:val="24"/>
          <w:szCs w:val="24"/>
        </w:rPr>
        <w:t>ignificant other</w:t>
      </w:r>
      <w:r>
        <w:rPr>
          <w:rFonts w:ascii="Arial" w:hAnsi="Arial" w:cs="Arial"/>
          <w:sz w:val="24"/>
          <w:szCs w:val="24"/>
        </w:rPr>
        <w:t xml:space="preserve"> may enlighten the individual:</w:t>
      </w:r>
      <w:r w:rsidRPr="00BB160C">
        <w:rPr>
          <w:rFonts w:ascii="Arial" w:hAnsi="Arial" w:cs="Arial"/>
          <w:sz w:val="24"/>
          <w:szCs w:val="24"/>
        </w:rPr>
        <w:t xml:space="preserve"> "My roommate says I'll have problems if I don't make a decision soon." </w:t>
      </w:r>
      <w:r>
        <w:rPr>
          <w:rFonts w:ascii="Arial" w:hAnsi="Arial" w:cs="Arial"/>
          <w:sz w:val="24"/>
          <w:szCs w:val="24"/>
        </w:rPr>
        <w:t xml:space="preserve"> Or the individual may p</w:t>
      </w:r>
      <w:r w:rsidRPr="00BB160C">
        <w:rPr>
          <w:rFonts w:ascii="Arial" w:hAnsi="Arial" w:cs="Arial"/>
          <w:sz w:val="24"/>
          <w:szCs w:val="24"/>
        </w:rPr>
        <w:t>erceived</w:t>
      </w:r>
      <w:r>
        <w:rPr>
          <w:rFonts w:ascii="Arial" w:hAnsi="Arial" w:cs="Arial"/>
          <w:sz w:val="24"/>
          <w:szCs w:val="24"/>
        </w:rPr>
        <w:t xml:space="preserve"> an</w:t>
      </w:r>
      <w:r w:rsidRPr="00BB160C">
        <w:rPr>
          <w:rFonts w:ascii="Arial" w:hAnsi="Arial" w:cs="Arial"/>
          <w:sz w:val="24"/>
          <w:szCs w:val="24"/>
        </w:rPr>
        <w:t xml:space="preserve"> internal affective, behavioral, or physiological state</w:t>
      </w:r>
      <w:r>
        <w:rPr>
          <w:rFonts w:ascii="Arial" w:hAnsi="Arial" w:cs="Arial"/>
          <w:sz w:val="24"/>
          <w:szCs w:val="24"/>
        </w:rPr>
        <w:t>, such as an e</w:t>
      </w:r>
      <w:r w:rsidRPr="00BB160C">
        <w:rPr>
          <w:rFonts w:ascii="Arial" w:hAnsi="Arial" w:cs="Arial"/>
          <w:sz w:val="24"/>
          <w:szCs w:val="24"/>
        </w:rPr>
        <w:t>motion</w:t>
      </w:r>
      <w:r>
        <w:rPr>
          <w:rFonts w:ascii="Arial" w:hAnsi="Arial" w:cs="Arial"/>
          <w:sz w:val="24"/>
          <w:szCs w:val="24"/>
        </w:rPr>
        <w:t>:</w:t>
      </w:r>
      <w:r w:rsidRPr="00BB160C">
        <w:rPr>
          <w:rFonts w:ascii="Arial" w:hAnsi="Arial" w:cs="Arial"/>
          <w:sz w:val="24"/>
          <w:szCs w:val="24"/>
        </w:rPr>
        <w:t xml:space="preserve"> "I'm scared about committing myself." </w:t>
      </w:r>
      <w:r>
        <w:rPr>
          <w:rFonts w:ascii="Arial" w:hAnsi="Arial" w:cs="Arial"/>
          <w:sz w:val="24"/>
          <w:szCs w:val="24"/>
        </w:rPr>
        <w:t xml:space="preserve">Or the person may feel like procrastinating: </w:t>
      </w:r>
      <w:r w:rsidRPr="00BB160C">
        <w:rPr>
          <w:rFonts w:ascii="Arial" w:hAnsi="Arial" w:cs="Arial"/>
          <w:sz w:val="24"/>
          <w:szCs w:val="24"/>
        </w:rPr>
        <w:t xml:space="preserve"> "I'll get started next week</w:t>
      </w:r>
      <w:r>
        <w:rPr>
          <w:rFonts w:ascii="Arial" w:hAnsi="Arial" w:cs="Arial"/>
          <w:sz w:val="24"/>
          <w:szCs w:val="24"/>
        </w:rPr>
        <w:t>,</w:t>
      </w:r>
      <w:r w:rsidRPr="00BB160C">
        <w:rPr>
          <w:rFonts w:ascii="Arial" w:hAnsi="Arial" w:cs="Arial"/>
          <w:sz w:val="24"/>
          <w:szCs w:val="24"/>
        </w:rPr>
        <w:t xml:space="preserve">" </w:t>
      </w:r>
      <w:r>
        <w:rPr>
          <w:rFonts w:ascii="Arial" w:hAnsi="Arial" w:cs="Arial"/>
          <w:sz w:val="24"/>
          <w:szCs w:val="24"/>
        </w:rPr>
        <w:t xml:space="preserve">or they may literally feel ill: </w:t>
      </w:r>
      <w:r w:rsidRPr="00BB160C">
        <w:rPr>
          <w:rFonts w:ascii="Arial" w:hAnsi="Arial" w:cs="Arial"/>
          <w:sz w:val="24"/>
          <w:szCs w:val="24"/>
        </w:rPr>
        <w:t xml:space="preserve">"I'm so </w:t>
      </w:r>
      <w:r>
        <w:rPr>
          <w:rFonts w:ascii="Arial" w:hAnsi="Arial" w:cs="Arial"/>
          <w:sz w:val="24"/>
          <w:szCs w:val="24"/>
        </w:rPr>
        <w:t>stressed out</w:t>
      </w:r>
      <w:r w:rsidRPr="00BB160C">
        <w:rPr>
          <w:rFonts w:ascii="Arial" w:hAnsi="Arial" w:cs="Arial"/>
          <w:sz w:val="24"/>
          <w:szCs w:val="24"/>
        </w:rPr>
        <w:t xml:space="preserve"> about this, I can't eat." </w:t>
      </w:r>
    </w:p>
    <w:p w:rsidR="00616100" w:rsidRPr="00BB160C" w:rsidRDefault="00616100" w:rsidP="00616100">
      <w:pPr>
        <w:tabs>
          <w:tab w:val="left" w:pos="432"/>
          <w:tab w:val="left" w:pos="864"/>
          <w:tab w:val="left" w:pos="1296"/>
          <w:tab w:val="left" w:pos="1728"/>
        </w:tabs>
        <w:spacing w:after="0" w:line="240" w:lineRule="auto"/>
        <w:ind w:left="45"/>
        <w:rPr>
          <w:rFonts w:ascii="Arial" w:hAnsi="Arial" w:cs="Arial"/>
          <w:sz w:val="24"/>
          <w:szCs w:val="24"/>
        </w:rPr>
      </w:pPr>
    </w:p>
    <w:p w:rsidR="00616100" w:rsidRDefault="00616100" w:rsidP="00616100">
      <w:pPr>
        <w:keepLines/>
        <w:tabs>
          <w:tab w:val="left" w:pos="432"/>
          <w:tab w:val="left" w:pos="864"/>
          <w:tab w:val="left" w:pos="1296"/>
          <w:tab w:val="left" w:pos="1728"/>
        </w:tabs>
        <w:spacing w:after="0" w:line="240" w:lineRule="auto"/>
        <w:rPr>
          <w:rFonts w:ascii="Arial" w:hAnsi="Arial" w:cs="Arial"/>
          <w:b/>
          <w:sz w:val="24"/>
          <w:szCs w:val="24"/>
        </w:rPr>
      </w:pPr>
      <w:r>
        <w:rPr>
          <w:rFonts w:ascii="Arial" w:hAnsi="Arial" w:cs="Arial"/>
          <w:b/>
          <w:sz w:val="24"/>
          <w:szCs w:val="24"/>
        </w:rPr>
        <w:t xml:space="preserve">Step 2: </w:t>
      </w:r>
      <w:r w:rsidRPr="00076C3B">
        <w:rPr>
          <w:rFonts w:ascii="Arial" w:hAnsi="Arial" w:cs="Arial"/>
          <w:b/>
          <w:sz w:val="24"/>
          <w:szCs w:val="24"/>
        </w:rPr>
        <w:t>Analysis</w:t>
      </w:r>
    </w:p>
    <w:p w:rsidR="00616100" w:rsidRPr="00076C3B" w:rsidRDefault="00616100" w:rsidP="00616100">
      <w:pPr>
        <w:keepLines/>
        <w:tabs>
          <w:tab w:val="left" w:pos="432"/>
          <w:tab w:val="left" w:pos="864"/>
          <w:tab w:val="left" w:pos="1296"/>
          <w:tab w:val="left" w:pos="1728"/>
        </w:tabs>
        <w:spacing w:after="0" w:line="240" w:lineRule="auto"/>
        <w:rPr>
          <w:rFonts w:ascii="Arial" w:hAnsi="Arial" w:cs="Arial"/>
          <w:sz w:val="24"/>
          <w:szCs w:val="24"/>
        </w:rPr>
      </w:pPr>
    </w:p>
    <w:p w:rsidR="00616100" w:rsidRDefault="00616100" w:rsidP="00616100">
      <w:pPr>
        <w:tabs>
          <w:tab w:val="left" w:pos="432"/>
          <w:tab w:val="left" w:pos="864"/>
          <w:tab w:val="left" w:pos="1296"/>
          <w:tab w:val="left" w:pos="1728"/>
        </w:tabs>
        <w:spacing w:after="0" w:line="240" w:lineRule="auto"/>
        <w:ind w:left="360"/>
        <w:rPr>
          <w:rFonts w:ascii="Arial" w:hAnsi="Arial" w:cs="Arial"/>
          <w:sz w:val="24"/>
          <w:szCs w:val="24"/>
        </w:rPr>
      </w:pPr>
      <w:r>
        <w:rPr>
          <w:rFonts w:ascii="Arial" w:hAnsi="Arial" w:cs="Arial"/>
          <w:sz w:val="24"/>
          <w:szCs w:val="24"/>
        </w:rPr>
        <w:t>Analysis e</w:t>
      </w:r>
      <w:r w:rsidRPr="007659FA">
        <w:rPr>
          <w:rFonts w:ascii="Arial" w:hAnsi="Arial" w:cs="Arial"/>
          <w:sz w:val="24"/>
          <w:szCs w:val="24"/>
        </w:rPr>
        <w:t>nhance</w:t>
      </w:r>
      <w:r>
        <w:rPr>
          <w:rFonts w:ascii="Arial" w:hAnsi="Arial" w:cs="Arial"/>
          <w:sz w:val="24"/>
          <w:szCs w:val="24"/>
        </w:rPr>
        <w:t>s</w:t>
      </w:r>
      <w:r w:rsidRPr="007659FA">
        <w:rPr>
          <w:rFonts w:ascii="Arial" w:hAnsi="Arial" w:cs="Arial"/>
          <w:sz w:val="24"/>
          <w:szCs w:val="24"/>
        </w:rPr>
        <w:t xml:space="preserve"> self-knowledge</w:t>
      </w:r>
      <w:r>
        <w:rPr>
          <w:rFonts w:ascii="Arial" w:hAnsi="Arial" w:cs="Arial"/>
          <w:sz w:val="24"/>
          <w:szCs w:val="24"/>
        </w:rPr>
        <w:t xml:space="preserve">, which can be </w:t>
      </w:r>
      <w:r w:rsidRPr="007659FA">
        <w:rPr>
          <w:rFonts w:ascii="Arial" w:hAnsi="Arial" w:cs="Arial"/>
          <w:sz w:val="24"/>
          <w:szCs w:val="24"/>
        </w:rPr>
        <w:t xml:space="preserve">obtained from personal experience, structured </w:t>
      </w:r>
      <w:r>
        <w:rPr>
          <w:rFonts w:ascii="Arial" w:hAnsi="Arial" w:cs="Arial"/>
          <w:sz w:val="24"/>
          <w:szCs w:val="24"/>
        </w:rPr>
        <w:t>experiences-such as these modules</w:t>
      </w:r>
      <w:r w:rsidRPr="007659FA">
        <w:rPr>
          <w:rFonts w:ascii="Arial" w:hAnsi="Arial" w:cs="Arial"/>
          <w:sz w:val="24"/>
          <w:szCs w:val="24"/>
        </w:rPr>
        <w:t xml:space="preserve">, </w:t>
      </w:r>
      <w:r>
        <w:rPr>
          <w:rFonts w:ascii="Arial" w:hAnsi="Arial" w:cs="Arial"/>
          <w:sz w:val="24"/>
          <w:szCs w:val="24"/>
        </w:rPr>
        <w:t xml:space="preserve">formal </w:t>
      </w:r>
      <w:r w:rsidRPr="007659FA">
        <w:rPr>
          <w:rFonts w:ascii="Arial" w:hAnsi="Arial" w:cs="Arial"/>
          <w:sz w:val="24"/>
          <w:szCs w:val="24"/>
        </w:rPr>
        <w:t>assessment instruments, and computer-assisted career guidan</w:t>
      </w:r>
      <w:r>
        <w:rPr>
          <w:rFonts w:ascii="Arial" w:hAnsi="Arial" w:cs="Arial"/>
          <w:sz w:val="24"/>
          <w:szCs w:val="24"/>
        </w:rPr>
        <w:t>ce systems).  These experiences clarify v</w:t>
      </w:r>
      <w:r w:rsidRPr="007659FA">
        <w:rPr>
          <w:rFonts w:ascii="Arial" w:hAnsi="Arial" w:cs="Arial"/>
          <w:sz w:val="24"/>
          <w:szCs w:val="24"/>
        </w:rPr>
        <w:t>alues</w:t>
      </w:r>
      <w:r>
        <w:rPr>
          <w:rFonts w:ascii="Arial" w:hAnsi="Arial" w:cs="Arial"/>
          <w:sz w:val="24"/>
          <w:szCs w:val="24"/>
        </w:rPr>
        <w:t>, i</w:t>
      </w:r>
      <w:r w:rsidRPr="007659FA">
        <w:rPr>
          <w:rFonts w:ascii="Arial" w:hAnsi="Arial" w:cs="Arial"/>
          <w:sz w:val="24"/>
          <w:szCs w:val="24"/>
        </w:rPr>
        <w:t>nterests</w:t>
      </w:r>
      <w:r>
        <w:rPr>
          <w:rFonts w:ascii="Arial" w:hAnsi="Arial" w:cs="Arial"/>
          <w:sz w:val="24"/>
          <w:szCs w:val="24"/>
        </w:rPr>
        <w:t>, s</w:t>
      </w:r>
      <w:r w:rsidRPr="007659FA">
        <w:rPr>
          <w:rFonts w:ascii="Arial" w:hAnsi="Arial" w:cs="Arial"/>
          <w:sz w:val="24"/>
          <w:szCs w:val="24"/>
        </w:rPr>
        <w:t>kills</w:t>
      </w:r>
      <w:r>
        <w:rPr>
          <w:rFonts w:ascii="Arial" w:hAnsi="Arial" w:cs="Arial"/>
          <w:sz w:val="24"/>
          <w:szCs w:val="24"/>
        </w:rPr>
        <w:t>, personality, aptitudes, and e</w:t>
      </w:r>
      <w:r w:rsidRPr="007659FA">
        <w:rPr>
          <w:rFonts w:ascii="Arial" w:hAnsi="Arial" w:cs="Arial"/>
          <w:sz w:val="24"/>
          <w:szCs w:val="24"/>
        </w:rPr>
        <w:t>mployment preferences</w:t>
      </w:r>
      <w:r>
        <w:rPr>
          <w:rFonts w:ascii="Arial" w:hAnsi="Arial" w:cs="Arial"/>
          <w:sz w:val="24"/>
          <w:szCs w:val="24"/>
        </w:rPr>
        <w:t>.</w:t>
      </w:r>
    </w:p>
    <w:p w:rsidR="00616100" w:rsidRPr="007659FA" w:rsidRDefault="00616100" w:rsidP="00616100">
      <w:pPr>
        <w:tabs>
          <w:tab w:val="left" w:pos="432"/>
          <w:tab w:val="left" w:pos="864"/>
          <w:tab w:val="left" w:pos="1296"/>
          <w:tab w:val="left" w:pos="1728"/>
        </w:tabs>
        <w:spacing w:after="0" w:line="240" w:lineRule="auto"/>
        <w:ind w:left="360"/>
        <w:rPr>
          <w:rFonts w:ascii="Arial" w:hAnsi="Arial" w:cs="Arial"/>
          <w:sz w:val="24"/>
          <w:szCs w:val="24"/>
        </w:rPr>
      </w:pPr>
    </w:p>
    <w:p w:rsidR="00616100" w:rsidRPr="00076C3B" w:rsidRDefault="00616100" w:rsidP="00616100">
      <w:pPr>
        <w:tabs>
          <w:tab w:val="left" w:pos="432"/>
          <w:tab w:val="left" w:pos="864"/>
          <w:tab w:val="left" w:pos="1296"/>
          <w:tab w:val="left" w:pos="1728"/>
        </w:tabs>
        <w:spacing w:after="0" w:line="240" w:lineRule="auto"/>
        <w:ind w:left="360"/>
        <w:rPr>
          <w:rFonts w:ascii="Arial" w:hAnsi="Arial" w:cs="Arial"/>
          <w:sz w:val="24"/>
          <w:szCs w:val="24"/>
        </w:rPr>
      </w:pPr>
      <w:r>
        <w:rPr>
          <w:rFonts w:ascii="Arial" w:hAnsi="Arial" w:cs="Arial"/>
          <w:sz w:val="24"/>
          <w:szCs w:val="24"/>
        </w:rPr>
        <w:t>This analysis also e</w:t>
      </w:r>
      <w:r w:rsidRPr="007659FA">
        <w:rPr>
          <w:rFonts w:ascii="Arial" w:hAnsi="Arial" w:cs="Arial"/>
          <w:sz w:val="24"/>
          <w:szCs w:val="24"/>
        </w:rPr>
        <w:t>nhance</w:t>
      </w:r>
      <w:r>
        <w:rPr>
          <w:rFonts w:ascii="Arial" w:hAnsi="Arial" w:cs="Arial"/>
          <w:sz w:val="24"/>
          <w:szCs w:val="24"/>
        </w:rPr>
        <w:t>s</w:t>
      </w:r>
      <w:r w:rsidRPr="007659FA">
        <w:rPr>
          <w:rFonts w:ascii="Arial" w:hAnsi="Arial" w:cs="Arial"/>
          <w:sz w:val="24"/>
          <w:szCs w:val="24"/>
        </w:rPr>
        <w:t xml:space="preserve"> occupational knowledge by identifying important characteristics of occupati</w:t>
      </w:r>
      <w:r>
        <w:rPr>
          <w:rFonts w:ascii="Arial" w:hAnsi="Arial" w:cs="Arial"/>
          <w:sz w:val="24"/>
          <w:szCs w:val="24"/>
        </w:rPr>
        <w:t>ons, programs of study, or jobs and k</w:t>
      </w:r>
      <w:r w:rsidRPr="007659FA">
        <w:rPr>
          <w:rFonts w:ascii="Arial" w:hAnsi="Arial" w:cs="Arial"/>
          <w:sz w:val="24"/>
          <w:szCs w:val="24"/>
        </w:rPr>
        <w:t>nowledge of individual occupations, programs of study, or jobs (obtained from print material, audio-visual material, CACG system, information interviews, shadowing, work experience, academic courses, etc.).</w:t>
      </w:r>
      <w:r>
        <w:rPr>
          <w:rFonts w:ascii="Arial" w:hAnsi="Arial" w:cs="Arial"/>
          <w:sz w:val="24"/>
          <w:szCs w:val="24"/>
        </w:rPr>
        <w:t xml:space="preserve">  Ideally, this analysis also expands k</w:t>
      </w:r>
      <w:r w:rsidRPr="007659FA">
        <w:rPr>
          <w:rFonts w:ascii="Arial" w:hAnsi="Arial" w:cs="Arial"/>
          <w:sz w:val="24"/>
          <w:szCs w:val="24"/>
        </w:rPr>
        <w:t xml:space="preserve">nowledge of the structure of the world-of-work (occupations, programs of study, or jobs) from the Holland Hexagon, World-of-Work Map, </w:t>
      </w:r>
      <w:r>
        <w:rPr>
          <w:rFonts w:ascii="Arial" w:hAnsi="Arial" w:cs="Arial"/>
          <w:sz w:val="24"/>
          <w:szCs w:val="24"/>
        </w:rPr>
        <w:t>or other framework</w:t>
      </w:r>
      <w:r w:rsidRPr="007659FA">
        <w:rPr>
          <w:rFonts w:ascii="Arial" w:hAnsi="Arial" w:cs="Arial"/>
          <w:sz w:val="24"/>
          <w:szCs w:val="24"/>
        </w:rPr>
        <w:t>.</w:t>
      </w:r>
      <w:r>
        <w:rPr>
          <w:rFonts w:ascii="Arial" w:hAnsi="Arial" w:cs="Arial"/>
          <w:sz w:val="24"/>
          <w:szCs w:val="24"/>
        </w:rPr>
        <w:t xml:space="preserve">  Students participating in these analytical processes enhance ge</w:t>
      </w:r>
      <w:r w:rsidRPr="007659FA">
        <w:rPr>
          <w:rFonts w:ascii="Arial" w:hAnsi="Arial" w:cs="Arial"/>
          <w:sz w:val="24"/>
          <w:szCs w:val="24"/>
        </w:rPr>
        <w:t xml:space="preserve">neric information processing skills </w:t>
      </w:r>
      <w:r>
        <w:rPr>
          <w:rFonts w:ascii="Arial" w:hAnsi="Arial" w:cs="Arial"/>
          <w:sz w:val="24"/>
          <w:szCs w:val="24"/>
        </w:rPr>
        <w:t>and learn more about their m</w:t>
      </w:r>
      <w:r w:rsidRPr="007659FA">
        <w:rPr>
          <w:rFonts w:ascii="Arial" w:hAnsi="Arial" w:cs="Arial"/>
          <w:sz w:val="24"/>
          <w:szCs w:val="24"/>
        </w:rPr>
        <w:t>etacognitions</w:t>
      </w:r>
      <w:r>
        <w:rPr>
          <w:rFonts w:ascii="Arial" w:hAnsi="Arial" w:cs="Arial"/>
          <w:sz w:val="24"/>
          <w:szCs w:val="24"/>
        </w:rPr>
        <w:t>, such as their s</w:t>
      </w:r>
      <w:r w:rsidRPr="007659FA">
        <w:rPr>
          <w:rFonts w:ascii="Arial" w:hAnsi="Arial" w:cs="Arial"/>
          <w:sz w:val="24"/>
          <w:szCs w:val="24"/>
        </w:rPr>
        <w:t>elf-talk (I need to make a decision)</w:t>
      </w:r>
      <w:r>
        <w:rPr>
          <w:rFonts w:ascii="Arial" w:hAnsi="Arial" w:cs="Arial"/>
          <w:sz w:val="24"/>
          <w:szCs w:val="24"/>
        </w:rPr>
        <w:t>, s</w:t>
      </w:r>
      <w:r w:rsidRPr="007659FA">
        <w:rPr>
          <w:rFonts w:ascii="Arial" w:hAnsi="Arial" w:cs="Arial"/>
          <w:sz w:val="24"/>
          <w:szCs w:val="24"/>
        </w:rPr>
        <w:t>elf-awareness (I'm uneasy about this whole process)</w:t>
      </w:r>
      <w:r>
        <w:rPr>
          <w:rFonts w:ascii="Arial" w:hAnsi="Arial" w:cs="Arial"/>
          <w:sz w:val="24"/>
          <w:szCs w:val="24"/>
        </w:rPr>
        <w:t>, and their c</w:t>
      </w:r>
      <w:r w:rsidRPr="007659FA">
        <w:rPr>
          <w:rFonts w:ascii="Arial" w:hAnsi="Arial" w:cs="Arial"/>
          <w:sz w:val="24"/>
          <w:szCs w:val="24"/>
        </w:rPr>
        <w:t>ontrol and monitoring (What information do I need to obtain about myself and the situation to make a decision?)</w:t>
      </w:r>
      <w:r>
        <w:rPr>
          <w:rFonts w:ascii="Arial" w:hAnsi="Arial" w:cs="Arial"/>
          <w:sz w:val="24"/>
          <w:szCs w:val="24"/>
        </w:rPr>
        <w:t>.</w:t>
      </w:r>
    </w:p>
    <w:p w:rsidR="00616100" w:rsidRDefault="00616100" w:rsidP="00616100">
      <w:pPr>
        <w:tabs>
          <w:tab w:val="left" w:pos="432"/>
          <w:tab w:val="left" w:pos="864"/>
          <w:tab w:val="left" w:pos="1296"/>
          <w:tab w:val="left" w:pos="1728"/>
        </w:tabs>
        <w:spacing w:after="0" w:line="240" w:lineRule="auto"/>
        <w:rPr>
          <w:rFonts w:ascii="Arial" w:hAnsi="Arial" w:cs="Arial"/>
          <w:b/>
          <w:sz w:val="24"/>
          <w:szCs w:val="24"/>
        </w:rPr>
      </w:pPr>
    </w:p>
    <w:p w:rsidR="00616100" w:rsidRDefault="00616100" w:rsidP="00616100">
      <w:pPr>
        <w:tabs>
          <w:tab w:val="left" w:pos="432"/>
          <w:tab w:val="left" w:pos="864"/>
          <w:tab w:val="left" w:pos="1296"/>
          <w:tab w:val="left" w:pos="1728"/>
        </w:tabs>
        <w:spacing w:after="0" w:line="240" w:lineRule="auto"/>
        <w:rPr>
          <w:rFonts w:ascii="Arial" w:hAnsi="Arial" w:cs="Arial"/>
          <w:b/>
          <w:sz w:val="24"/>
          <w:szCs w:val="24"/>
        </w:rPr>
      </w:pPr>
      <w:r>
        <w:rPr>
          <w:rFonts w:ascii="Arial" w:hAnsi="Arial" w:cs="Arial"/>
          <w:b/>
          <w:sz w:val="24"/>
          <w:szCs w:val="24"/>
        </w:rPr>
        <w:t xml:space="preserve">Step 3: </w:t>
      </w:r>
      <w:r w:rsidRPr="00076C3B">
        <w:rPr>
          <w:rFonts w:ascii="Arial" w:hAnsi="Arial" w:cs="Arial"/>
          <w:b/>
          <w:sz w:val="24"/>
          <w:szCs w:val="24"/>
        </w:rPr>
        <w:t>Synthesis</w:t>
      </w:r>
    </w:p>
    <w:p w:rsidR="00616100" w:rsidRPr="00076C3B" w:rsidRDefault="00616100" w:rsidP="00616100">
      <w:pPr>
        <w:tabs>
          <w:tab w:val="left" w:pos="432"/>
          <w:tab w:val="left" w:pos="864"/>
          <w:tab w:val="left" w:pos="1296"/>
          <w:tab w:val="left" w:pos="1728"/>
        </w:tabs>
        <w:spacing w:after="0" w:line="240" w:lineRule="auto"/>
        <w:rPr>
          <w:rFonts w:ascii="Arial" w:hAnsi="Arial" w:cs="Arial"/>
          <w:b/>
          <w:sz w:val="24"/>
          <w:szCs w:val="24"/>
        </w:rPr>
      </w:pPr>
    </w:p>
    <w:p w:rsidR="00616100" w:rsidRPr="007659FA" w:rsidRDefault="00616100" w:rsidP="00616100">
      <w:pPr>
        <w:tabs>
          <w:tab w:val="left" w:pos="432"/>
          <w:tab w:val="left" w:pos="864"/>
          <w:tab w:val="left" w:pos="1296"/>
          <w:tab w:val="left" w:pos="1728"/>
        </w:tabs>
        <w:spacing w:after="0" w:line="240" w:lineRule="auto"/>
        <w:ind w:left="864" w:hanging="432"/>
        <w:rPr>
          <w:rFonts w:ascii="Arial" w:hAnsi="Arial" w:cs="Arial"/>
          <w:sz w:val="24"/>
          <w:szCs w:val="24"/>
        </w:rPr>
      </w:pPr>
      <w:r>
        <w:rPr>
          <w:rFonts w:ascii="Arial" w:hAnsi="Arial" w:cs="Arial"/>
          <w:sz w:val="24"/>
          <w:szCs w:val="24"/>
        </w:rPr>
        <w:t>Synthesis involves the el</w:t>
      </w:r>
      <w:r w:rsidRPr="007659FA">
        <w:rPr>
          <w:rFonts w:ascii="Arial" w:hAnsi="Arial" w:cs="Arial"/>
          <w:sz w:val="24"/>
          <w:szCs w:val="24"/>
        </w:rPr>
        <w:t>aboration</w:t>
      </w:r>
      <w:r>
        <w:rPr>
          <w:rFonts w:ascii="Arial" w:hAnsi="Arial" w:cs="Arial"/>
          <w:sz w:val="24"/>
          <w:szCs w:val="24"/>
        </w:rPr>
        <w:t xml:space="preserve"> and crystallization of options.  Putting together the pieces of the puzzle, so to speak.  During synthesis, students i</w:t>
      </w:r>
      <w:r w:rsidRPr="007659FA">
        <w:rPr>
          <w:rFonts w:ascii="Arial" w:hAnsi="Arial" w:cs="Arial"/>
          <w:sz w:val="24"/>
          <w:szCs w:val="24"/>
        </w:rPr>
        <w:t>dentify the maximum number of potential alternatives (occupations, programs of study, or jobs).</w:t>
      </w:r>
      <w:r>
        <w:rPr>
          <w:rFonts w:ascii="Arial" w:hAnsi="Arial" w:cs="Arial"/>
          <w:sz w:val="24"/>
          <w:szCs w:val="24"/>
        </w:rPr>
        <w:t xml:space="preserve">  During the c</w:t>
      </w:r>
      <w:r w:rsidRPr="007659FA">
        <w:rPr>
          <w:rFonts w:ascii="Arial" w:hAnsi="Arial" w:cs="Arial"/>
          <w:sz w:val="24"/>
          <w:szCs w:val="24"/>
        </w:rPr>
        <w:t>rystallization</w:t>
      </w:r>
      <w:r>
        <w:rPr>
          <w:rFonts w:ascii="Arial" w:hAnsi="Arial" w:cs="Arial"/>
          <w:sz w:val="24"/>
          <w:szCs w:val="24"/>
        </w:rPr>
        <w:t xml:space="preserve"> process, students n</w:t>
      </w:r>
      <w:r w:rsidRPr="007659FA">
        <w:rPr>
          <w:rFonts w:ascii="Arial" w:hAnsi="Arial" w:cs="Arial"/>
          <w:sz w:val="24"/>
          <w:szCs w:val="24"/>
        </w:rPr>
        <w:t xml:space="preserve">arrow potential occupations, programs of study, or jobs to a manageable number of options </w:t>
      </w:r>
      <w:r>
        <w:rPr>
          <w:rFonts w:ascii="Arial" w:hAnsi="Arial" w:cs="Arial"/>
          <w:sz w:val="24"/>
          <w:szCs w:val="24"/>
        </w:rPr>
        <w:t xml:space="preserve">for exploration </w:t>
      </w:r>
      <w:r w:rsidRPr="007659FA">
        <w:rPr>
          <w:rFonts w:ascii="Arial" w:hAnsi="Arial" w:cs="Arial"/>
          <w:sz w:val="24"/>
          <w:szCs w:val="24"/>
        </w:rPr>
        <w:t>(3-5).</w:t>
      </w:r>
    </w:p>
    <w:p w:rsidR="00616100" w:rsidRPr="00076C3B" w:rsidRDefault="00616100" w:rsidP="00616100">
      <w:pPr>
        <w:tabs>
          <w:tab w:val="left" w:pos="432"/>
          <w:tab w:val="left" w:pos="864"/>
          <w:tab w:val="left" w:pos="1296"/>
          <w:tab w:val="left" w:pos="1728"/>
        </w:tabs>
        <w:spacing w:after="0" w:line="240" w:lineRule="auto"/>
        <w:rPr>
          <w:rFonts w:ascii="Arial" w:hAnsi="Arial" w:cs="Arial"/>
          <w:sz w:val="24"/>
          <w:szCs w:val="24"/>
        </w:rPr>
      </w:pPr>
      <w:r w:rsidRPr="00076C3B">
        <w:rPr>
          <w:rFonts w:ascii="Arial" w:hAnsi="Arial" w:cs="Arial"/>
          <w:sz w:val="24"/>
          <w:szCs w:val="24"/>
        </w:rPr>
        <w:t> </w:t>
      </w:r>
    </w:p>
    <w:p w:rsidR="00616100" w:rsidRDefault="00616100" w:rsidP="00616100">
      <w:pPr>
        <w:pStyle w:val="Heading2"/>
        <w:rPr>
          <w:rFonts w:ascii="Arial" w:hAnsi="Arial" w:cs="Arial"/>
          <w:szCs w:val="24"/>
        </w:rPr>
      </w:pPr>
      <w:r>
        <w:rPr>
          <w:rFonts w:ascii="Arial" w:hAnsi="Arial" w:cs="Arial"/>
          <w:szCs w:val="24"/>
        </w:rPr>
        <w:t xml:space="preserve">Step 4: </w:t>
      </w:r>
      <w:r w:rsidRPr="00076C3B">
        <w:rPr>
          <w:rFonts w:ascii="Arial" w:hAnsi="Arial" w:cs="Arial"/>
          <w:szCs w:val="24"/>
        </w:rPr>
        <w:t>Valuing</w:t>
      </w:r>
    </w:p>
    <w:p w:rsidR="00616100" w:rsidRDefault="00616100" w:rsidP="00616100">
      <w:pPr>
        <w:keepLines/>
        <w:tabs>
          <w:tab w:val="left" w:pos="432"/>
          <w:tab w:val="left" w:pos="864"/>
          <w:tab w:val="left" w:pos="1296"/>
          <w:tab w:val="left" w:pos="1728"/>
        </w:tabs>
        <w:spacing w:after="0" w:line="240" w:lineRule="auto"/>
        <w:ind w:left="864" w:hanging="432"/>
        <w:rPr>
          <w:rFonts w:ascii="Arial" w:hAnsi="Arial" w:cs="Arial"/>
          <w:i/>
          <w:sz w:val="24"/>
          <w:szCs w:val="24"/>
        </w:rPr>
      </w:pPr>
    </w:p>
    <w:p w:rsidR="00616100" w:rsidRPr="00994C70" w:rsidRDefault="00616100" w:rsidP="00616100">
      <w:pPr>
        <w:keepLines/>
        <w:tabs>
          <w:tab w:val="left" w:pos="432"/>
          <w:tab w:val="left" w:pos="864"/>
          <w:tab w:val="left" w:pos="1296"/>
          <w:tab w:val="left" w:pos="1728"/>
        </w:tabs>
        <w:spacing w:after="0" w:line="240" w:lineRule="auto"/>
        <w:ind w:left="360"/>
        <w:rPr>
          <w:rFonts w:ascii="Arial" w:hAnsi="Arial" w:cs="Arial"/>
          <w:sz w:val="24"/>
          <w:szCs w:val="24"/>
        </w:rPr>
      </w:pPr>
      <w:r>
        <w:rPr>
          <w:rFonts w:ascii="Arial" w:hAnsi="Arial" w:cs="Arial"/>
          <w:sz w:val="24"/>
          <w:szCs w:val="24"/>
        </w:rPr>
        <w:t>Valuing involves judging, prioritizing, and making choices.  Students learn to j</w:t>
      </w:r>
      <w:r w:rsidRPr="00994C70">
        <w:rPr>
          <w:rFonts w:ascii="Arial" w:hAnsi="Arial" w:cs="Arial"/>
          <w:sz w:val="24"/>
          <w:szCs w:val="24"/>
        </w:rPr>
        <w:t>udge the costs and benefits of each alternative to</w:t>
      </w:r>
      <w:r>
        <w:rPr>
          <w:rFonts w:ascii="Arial" w:hAnsi="Arial" w:cs="Arial"/>
          <w:sz w:val="24"/>
          <w:szCs w:val="24"/>
        </w:rPr>
        <w:t xml:space="preserve"> themselves, s</w:t>
      </w:r>
      <w:r w:rsidRPr="00994C70">
        <w:rPr>
          <w:rFonts w:ascii="Arial" w:hAnsi="Arial" w:cs="Arial"/>
          <w:sz w:val="24"/>
          <w:szCs w:val="24"/>
        </w:rPr>
        <w:t xml:space="preserve">ignificant others, </w:t>
      </w:r>
      <w:r>
        <w:rPr>
          <w:rFonts w:ascii="Arial" w:hAnsi="Arial" w:cs="Arial"/>
          <w:sz w:val="24"/>
          <w:szCs w:val="24"/>
        </w:rPr>
        <w:t>their cultural group, community and/or society. Next they prioritize among alternatives and m</w:t>
      </w:r>
      <w:r w:rsidRPr="00994C70">
        <w:rPr>
          <w:rFonts w:ascii="Arial" w:hAnsi="Arial" w:cs="Arial"/>
          <w:sz w:val="24"/>
          <w:szCs w:val="24"/>
        </w:rPr>
        <w:t>ake tentative primary and secondary choices</w:t>
      </w:r>
      <w:r>
        <w:rPr>
          <w:rFonts w:ascii="Arial" w:hAnsi="Arial" w:cs="Arial"/>
          <w:sz w:val="24"/>
          <w:szCs w:val="24"/>
        </w:rPr>
        <w:t>.</w:t>
      </w:r>
    </w:p>
    <w:p w:rsidR="00616100" w:rsidRPr="00076C3B" w:rsidRDefault="00616100" w:rsidP="00616100">
      <w:pPr>
        <w:tabs>
          <w:tab w:val="left" w:pos="432"/>
          <w:tab w:val="left" w:pos="864"/>
          <w:tab w:val="left" w:pos="1296"/>
          <w:tab w:val="left" w:pos="1728"/>
        </w:tabs>
        <w:spacing w:after="0" w:line="240" w:lineRule="auto"/>
        <w:rPr>
          <w:rFonts w:ascii="Arial" w:hAnsi="Arial" w:cs="Arial"/>
          <w:sz w:val="24"/>
          <w:szCs w:val="24"/>
        </w:rPr>
      </w:pPr>
      <w:r w:rsidRPr="00076C3B">
        <w:rPr>
          <w:rFonts w:ascii="Arial" w:hAnsi="Arial" w:cs="Arial"/>
          <w:sz w:val="24"/>
          <w:szCs w:val="24"/>
        </w:rPr>
        <w:t> </w:t>
      </w:r>
    </w:p>
    <w:p w:rsidR="00616100" w:rsidRDefault="00616100" w:rsidP="00616100">
      <w:pPr>
        <w:keepLines/>
        <w:tabs>
          <w:tab w:val="left" w:pos="432"/>
          <w:tab w:val="left" w:pos="864"/>
          <w:tab w:val="left" w:pos="1296"/>
          <w:tab w:val="left" w:pos="1728"/>
        </w:tabs>
        <w:spacing w:after="0" w:line="240" w:lineRule="auto"/>
        <w:rPr>
          <w:rFonts w:ascii="Arial" w:hAnsi="Arial" w:cs="Arial"/>
          <w:b/>
          <w:sz w:val="24"/>
          <w:szCs w:val="24"/>
        </w:rPr>
      </w:pPr>
      <w:r>
        <w:rPr>
          <w:rFonts w:ascii="Arial" w:hAnsi="Arial" w:cs="Arial"/>
          <w:b/>
          <w:sz w:val="24"/>
          <w:szCs w:val="24"/>
        </w:rPr>
        <w:lastRenderedPageBreak/>
        <w:t>Step 5:</w:t>
      </w:r>
      <w:r w:rsidRPr="00076C3B">
        <w:rPr>
          <w:rFonts w:ascii="Arial" w:hAnsi="Arial" w:cs="Arial"/>
          <w:b/>
          <w:sz w:val="24"/>
          <w:szCs w:val="24"/>
        </w:rPr>
        <w:t xml:space="preserve"> Execution</w:t>
      </w:r>
    </w:p>
    <w:p w:rsidR="00616100" w:rsidRPr="00076C3B" w:rsidRDefault="00616100" w:rsidP="00616100">
      <w:pPr>
        <w:keepLines/>
        <w:tabs>
          <w:tab w:val="left" w:pos="432"/>
          <w:tab w:val="left" w:pos="864"/>
          <w:tab w:val="left" w:pos="1296"/>
          <w:tab w:val="left" w:pos="1728"/>
        </w:tabs>
        <w:spacing w:after="0" w:line="240" w:lineRule="auto"/>
        <w:rPr>
          <w:rFonts w:ascii="Arial" w:hAnsi="Arial" w:cs="Arial"/>
          <w:sz w:val="24"/>
          <w:szCs w:val="24"/>
        </w:rPr>
      </w:pPr>
    </w:p>
    <w:p w:rsidR="00616100" w:rsidRPr="00994C70" w:rsidRDefault="00616100" w:rsidP="00616100">
      <w:pPr>
        <w:keepLines/>
        <w:tabs>
          <w:tab w:val="left" w:pos="432"/>
          <w:tab w:val="left" w:pos="864"/>
          <w:tab w:val="left" w:pos="1296"/>
          <w:tab w:val="left" w:pos="1728"/>
        </w:tabs>
        <w:spacing w:after="0" w:line="240" w:lineRule="auto"/>
        <w:ind w:left="360"/>
        <w:rPr>
          <w:rFonts w:ascii="Arial" w:hAnsi="Arial" w:cs="Arial"/>
          <w:sz w:val="24"/>
          <w:szCs w:val="24"/>
        </w:rPr>
      </w:pPr>
      <w:r>
        <w:rPr>
          <w:rFonts w:ascii="Arial" w:hAnsi="Arial" w:cs="Arial"/>
          <w:sz w:val="24"/>
          <w:szCs w:val="24"/>
        </w:rPr>
        <w:t>In the execution step, students f</w:t>
      </w:r>
      <w:r w:rsidRPr="00994C70">
        <w:rPr>
          <w:rFonts w:ascii="Arial" w:hAnsi="Arial" w:cs="Arial"/>
          <w:sz w:val="24"/>
          <w:szCs w:val="24"/>
        </w:rPr>
        <w:t>ormulate a plan for implementing a tentative choice</w:t>
      </w:r>
      <w:r>
        <w:rPr>
          <w:rFonts w:ascii="Arial" w:hAnsi="Arial" w:cs="Arial"/>
          <w:sz w:val="24"/>
          <w:szCs w:val="24"/>
        </w:rPr>
        <w:t>.  This execution may include preparing for formal education or training, r</w:t>
      </w:r>
      <w:r w:rsidRPr="00994C70">
        <w:rPr>
          <w:rFonts w:ascii="Arial" w:hAnsi="Arial" w:cs="Arial"/>
          <w:sz w:val="24"/>
          <w:szCs w:val="24"/>
        </w:rPr>
        <w:t>eality testing (work experience</w:t>
      </w:r>
      <w:r>
        <w:rPr>
          <w:rFonts w:ascii="Arial" w:hAnsi="Arial" w:cs="Arial"/>
          <w:sz w:val="24"/>
          <w:szCs w:val="24"/>
        </w:rPr>
        <w:t xml:space="preserve"> of some sort or exploratory coursework).  It might also involve employment seeking.</w:t>
      </w:r>
    </w:p>
    <w:p w:rsidR="00616100" w:rsidRDefault="00616100" w:rsidP="00616100">
      <w:pPr>
        <w:rPr>
          <w:rFonts w:ascii="Arial" w:eastAsia="Times New Roman" w:hAnsi="Arial" w:cs="Arial"/>
          <w:sz w:val="24"/>
          <w:szCs w:val="24"/>
        </w:rPr>
      </w:pPr>
    </w:p>
    <w:p w:rsidR="00616100" w:rsidRPr="00B604D4" w:rsidRDefault="00616100" w:rsidP="00616100">
      <w:pPr>
        <w:jc w:val="center"/>
        <w:rPr>
          <w:rFonts w:ascii="Arial" w:eastAsia="Times New Roman" w:hAnsi="Arial" w:cs="Arial"/>
          <w:b/>
          <w:color w:val="4F81BD"/>
          <w:sz w:val="24"/>
          <w:szCs w:val="24"/>
        </w:rPr>
      </w:pPr>
      <w:r w:rsidRPr="00B604D4">
        <w:rPr>
          <w:rFonts w:ascii="Arial" w:eastAsia="Times New Roman" w:hAnsi="Arial" w:cs="Arial"/>
          <w:b/>
          <w:color w:val="4F81BD"/>
          <w:sz w:val="24"/>
          <w:szCs w:val="24"/>
        </w:rPr>
        <w:t>The CASVE Cycle Figure 1.</w:t>
      </w:r>
    </w:p>
    <w:p w:rsidR="00616100" w:rsidRPr="00DC1025" w:rsidRDefault="00616100" w:rsidP="00616100">
      <w:pPr>
        <w:keepLines/>
        <w:tabs>
          <w:tab w:val="left" w:pos="450"/>
        </w:tabs>
        <w:spacing w:after="0" w:line="240" w:lineRule="auto"/>
        <w:jc w:val="both"/>
        <w:rPr>
          <w:rFonts w:ascii="Times New Roman" w:eastAsia="Times New Roman" w:hAnsi="Times New Roman"/>
          <w:sz w:val="24"/>
          <w:szCs w:val="20"/>
        </w:rPr>
      </w:pPr>
      <w:r>
        <w:rPr>
          <w:rFonts w:ascii="Times New Roman" w:eastAsia="Times New Roman" w:hAnsi="Times New Roman"/>
          <w:noProof/>
          <w:sz w:val="24"/>
          <w:szCs w:val="20"/>
        </w:rPr>
        <w:drawing>
          <wp:inline distT="0" distB="0" distL="0" distR="0">
            <wp:extent cx="5915025" cy="421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15025" cy="4210050"/>
                    </a:xfrm>
                    <a:prstGeom prst="rect">
                      <a:avLst/>
                    </a:prstGeom>
                    <a:noFill/>
                    <a:ln w="9525">
                      <a:noFill/>
                      <a:miter lim="800000"/>
                      <a:headEnd/>
                      <a:tailEnd/>
                    </a:ln>
                  </pic:spPr>
                </pic:pic>
              </a:graphicData>
            </a:graphic>
          </wp:inline>
        </w:drawing>
      </w:r>
    </w:p>
    <w:p w:rsidR="00616100" w:rsidRPr="00786F57" w:rsidRDefault="00616100" w:rsidP="00616100">
      <w:pPr>
        <w:spacing w:after="0" w:line="240" w:lineRule="auto"/>
        <w:rPr>
          <w:rFonts w:ascii="Times New Roman" w:eastAsia="Times New Roman" w:hAnsi="Times New Roman"/>
          <w:szCs w:val="20"/>
        </w:rPr>
      </w:pPr>
    </w:p>
    <w:p w:rsidR="00616100" w:rsidRPr="00C5424A" w:rsidRDefault="00616100" w:rsidP="00616100">
      <w:pPr>
        <w:rPr>
          <w:rFonts w:ascii="Arial" w:eastAsia="Times" w:hAnsi="Arial" w:cs="Arial"/>
          <w:color w:val="000000"/>
          <w:sz w:val="24"/>
          <w:szCs w:val="24"/>
        </w:rPr>
      </w:pPr>
      <w:r>
        <w:rPr>
          <w:rFonts w:ascii="Arial" w:eastAsia="Times" w:hAnsi="Arial" w:cs="Arial"/>
          <w:noProof/>
          <w:color w:val="000000"/>
          <w:sz w:val="24"/>
          <w:szCs w:val="24"/>
        </w:rPr>
        <w:drawing>
          <wp:anchor distT="0" distB="0" distL="114300" distR="114300" simplePos="0" relativeHeight="251661312" behindDoc="1" locked="0" layoutInCell="1" allowOverlap="1">
            <wp:simplePos x="0" y="0"/>
            <wp:positionH relativeFrom="column">
              <wp:posOffset>5191125</wp:posOffset>
            </wp:positionH>
            <wp:positionV relativeFrom="paragraph">
              <wp:posOffset>329565</wp:posOffset>
            </wp:positionV>
            <wp:extent cx="775970" cy="588010"/>
            <wp:effectExtent l="19050" t="0" r="5080" b="0"/>
            <wp:wrapTight wrapText="bothSides">
              <wp:wrapPolygon edited="0">
                <wp:start x="6363" y="0"/>
                <wp:lineTo x="530" y="0"/>
                <wp:lineTo x="-530" y="13296"/>
                <wp:lineTo x="1591" y="20294"/>
                <wp:lineTo x="2121" y="20294"/>
                <wp:lineTo x="21211" y="20294"/>
                <wp:lineTo x="21741" y="11197"/>
                <wp:lineTo x="21741" y="2799"/>
                <wp:lineTo x="20151" y="1400"/>
                <wp:lineTo x="10075" y="0"/>
                <wp:lineTo x="6363" y="0"/>
              </wp:wrapPolygon>
            </wp:wrapTight>
            <wp:docPr id="3" name="Picture 5" descr="C:\Users\Susan\AppData\Local\Microsoft\Windows\Temporary Internet Files\Content.IE5\HQD0I7WI\MCBS0086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AppData\Local\Microsoft\Windows\Temporary Internet Files\Content.IE5\HQD0I7WI\MCBS00867_0000[1].wmf"/>
                    <pic:cNvPicPr>
                      <a:picLocks noChangeAspect="1" noChangeArrowheads="1"/>
                    </pic:cNvPicPr>
                  </pic:nvPicPr>
                  <pic:blipFill>
                    <a:blip r:embed="rId7"/>
                    <a:srcRect/>
                    <a:stretch>
                      <a:fillRect/>
                    </a:stretch>
                  </pic:blipFill>
                  <pic:spPr bwMode="auto">
                    <a:xfrm>
                      <a:off x="0" y="0"/>
                      <a:ext cx="775970" cy="588010"/>
                    </a:xfrm>
                    <a:prstGeom prst="rect">
                      <a:avLst/>
                    </a:prstGeom>
                    <a:noFill/>
                    <a:ln w="9525">
                      <a:noFill/>
                      <a:miter lim="800000"/>
                      <a:headEnd/>
                      <a:tailEnd/>
                    </a:ln>
                  </pic:spPr>
                </pic:pic>
              </a:graphicData>
            </a:graphic>
          </wp:anchor>
        </w:drawing>
      </w:r>
      <w:r w:rsidRPr="00C5424A">
        <w:rPr>
          <w:rFonts w:ascii="Arial" w:eastAsia="Times" w:hAnsi="Arial" w:cs="Arial"/>
          <w:color w:val="000000"/>
          <w:sz w:val="24"/>
          <w:szCs w:val="24"/>
        </w:rPr>
        <w:t xml:space="preserve">This cycle, coupled with the National Career Development Guidelines inspired the creation and design of the following </w:t>
      </w:r>
      <w:r>
        <w:rPr>
          <w:rFonts w:ascii="Arial" w:eastAsia="Times" w:hAnsi="Arial" w:cs="Arial"/>
          <w:color w:val="000000"/>
          <w:sz w:val="24"/>
          <w:szCs w:val="24"/>
        </w:rPr>
        <w:t>nine</w:t>
      </w:r>
      <w:r w:rsidRPr="00C5424A">
        <w:rPr>
          <w:rFonts w:ascii="Arial" w:eastAsia="Times" w:hAnsi="Arial" w:cs="Arial"/>
          <w:color w:val="000000"/>
          <w:sz w:val="24"/>
          <w:szCs w:val="24"/>
        </w:rPr>
        <w:t xml:space="preserve"> instructional modules.</w:t>
      </w:r>
    </w:p>
    <w:p w:rsidR="00616100" w:rsidRDefault="00616100" w:rsidP="00616100">
      <w:pPr>
        <w:rPr>
          <w:rFonts w:ascii="Arial" w:eastAsia="Times" w:hAnsi="Arial" w:cs="Arial"/>
          <w:color w:val="000000"/>
          <w:sz w:val="24"/>
          <w:szCs w:val="24"/>
        </w:rPr>
      </w:pPr>
      <w:r w:rsidRPr="00C5424A">
        <w:rPr>
          <w:rFonts w:ascii="Arial" w:eastAsia="Times" w:hAnsi="Arial" w:cs="Arial"/>
          <w:color w:val="000000"/>
          <w:sz w:val="24"/>
          <w:szCs w:val="24"/>
        </w:rPr>
        <w:t>Please note</w:t>
      </w:r>
      <w:r>
        <w:rPr>
          <w:rFonts w:ascii="Arial" w:eastAsia="Times" w:hAnsi="Arial" w:cs="Arial"/>
          <w:color w:val="000000"/>
          <w:sz w:val="24"/>
          <w:szCs w:val="24"/>
        </w:rPr>
        <w:t>,</w:t>
      </w:r>
      <w:r w:rsidRPr="00C5424A">
        <w:rPr>
          <w:rFonts w:ascii="Arial" w:eastAsia="Times" w:hAnsi="Arial" w:cs="Arial"/>
          <w:color w:val="000000"/>
          <w:sz w:val="24"/>
          <w:szCs w:val="24"/>
        </w:rPr>
        <w:t xml:space="preserve"> </w:t>
      </w:r>
      <w:r>
        <w:rPr>
          <w:rFonts w:ascii="Arial" w:eastAsia="Times" w:hAnsi="Arial" w:cs="Arial"/>
          <w:color w:val="000000"/>
          <w:sz w:val="24"/>
          <w:szCs w:val="24"/>
        </w:rPr>
        <w:t xml:space="preserve">within this curriculum, worksheets and student handouts </w:t>
      </w:r>
      <w:r w:rsidRPr="00C5424A">
        <w:rPr>
          <w:rFonts w:ascii="Arial" w:eastAsia="Times" w:hAnsi="Arial" w:cs="Arial"/>
          <w:color w:val="000000"/>
          <w:sz w:val="24"/>
          <w:szCs w:val="24"/>
        </w:rPr>
        <w:t>are denoted with a</w:t>
      </w:r>
      <w:r>
        <w:rPr>
          <w:rFonts w:ascii="Arial" w:eastAsia="Times" w:hAnsi="Arial" w:cs="Arial"/>
          <w:color w:val="000000"/>
          <w:sz w:val="24"/>
          <w:szCs w:val="24"/>
        </w:rPr>
        <w:t xml:space="preserve"> symbol</w:t>
      </w:r>
      <w:r w:rsidRPr="00C5424A">
        <w:rPr>
          <w:rFonts w:ascii="Arial" w:eastAsia="Times" w:hAnsi="Arial" w:cs="Arial"/>
          <w:color w:val="000000"/>
          <w:sz w:val="24"/>
          <w:szCs w:val="24"/>
        </w:rPr>
        <w:t xml:space="preserve"> in the upper right hand corner of th</w:t>
      </w:r>
      <w:r>
        <w:rPr>
          <w:rFonts w:ascii="Arial" w:eastAsia="Times" w:hAnsi="Arial" w:cs="Arial"/>
          <w:color w:val="000000"/>
          <w:sz w:val="24"/>
          <w:szCs w:val="24"/>
        </w:rPr>
        <w:t>e</w:t>
      </w:r>
      <w:r w:rsidRPr="00C5424A">
        <w:rPr>
          <w:rFonts w:ascii="Arial" w:eastAsia="Times" w:hAnsi="Arial" w:cs="Arial"/>
          <w:color w:val="000000"/>
          <w:sz w:val="24"/>
          <w:szCs w:val="24"/>
        </w:rPr>
        <w:t xml:space="preserve"> curriculum</w:t>
      </w:r>
      <w:r>
        <w:rPr>
          <w:rFonts w:ascii="Arial" w:eastAsia="Times" w:hAnsi="Arial" w:cs="Arial"/>
          <w:color w:val="000000"/>
          <w:sz w:val="24"/>
          <w:szCs w:val="24"/>
        </w:rPr>
        <w:t xml:space="preserve">. </w:t>
      </w:r>
      <w:r w:rsidRPr="00C5424A">
        <w:rPr>
          <w:rFonts w:ascii="Arial" w:eastAsia="Times" w:hAnsi="Arial" w:cs="Arial"/>
          <w:color w:val="000000"/>
          <w:sz w:val="24"/>
          <w:szCs w:val="24"/>
        </w:rPr>
        <w:t xml:space="preserve"> </w:t>
      </w:r>
      <w:r>
        <w:rPr>
          <w:rFonts w:ascii="Arial" w:eastAsia="Times" w:hAnsi="Arial" w:cs="Arial"/>
          <w:color w:val="000000"/>
          <w:sz w:val="24"/>
          <w:szCs w:val="24"/>
        </w:rPr>
        <w:t xml:space="preserve">It looks like this: </w:t>
      </w:r>
    </w:p>
    <w:p w:rsidR="00616100" w:rsidRDefault="00616100" w:rsidP="00616100">
      <w:pPr>
        <w:rPr>
          <w:rFonts w:ascii="Arial" w:eastAsia="Times" w:hAnsi="Arial" w:cs="Arial"/>
          <w:color w:val="000000"/>
          <w:sz w:val="24"/>
          <w:szCs w:val="24"/>
        </w:rPr>
      </w:pPr>
      <w:r>
        <w:rPr>
          <w:rFonts w:ascii="Arial" w:eastAsia="Times" w:hAnsi="Arial" w:cs="Arial"/>
          <w:noProof/>
          <w:color w:val="000000"/>
          <w:sz w:val="24"/>
          <w:szCs w:val="24"/>
        </w:rPr>
        <w:drawing>
          <wp:anchor distT="0" distB="0" distL="114300" distR="114300" simplePos="0" relativeHeight="251660288" behindDoc="1" locked="0" layoutInCell="1" allowOverlap="1">
            <wp:simplePos x="0" y="0"/>
            <wp:positionH relativeFrom="column">
              <wp:posOffset>5295900</wp:posOffset>
            </wp:positionH>
            <wp:positionV relativeFrom="paragraph">
              <wp:posOffset>222250</wp:posOffset>
            </wp:positionV>
            <wp:extent cx="742950" cy="626110"/>
            <wp:effectExtent l="0" t="0" r="0" b="0"/>
            <wp:wrapTight wrapText="bothSides">
              <wp:wrapPolygon edited="0">
                <wp:start x="6646" y="0"/>
                <wp:lineTo x="4431" y="3286"/>
                <wp:lineTo x="0" y="14458"/>
                <wp:lineTo x="0" y="20373"/>
                <wp:lineTo x="21600" y="20373"/>
                <wp:lineTo x="21600" y="18402"/>
                <wp:lineTo x="13292" y="5915"/>
                <wp:lineTo x="8862" y="0"/>
                <wp:lineTo x="66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2950" cy="626110"/>
                    </a:xfrm>
                    <a:prstGeom prst="rect">
                      <a:avLst/>
                    </a:prstGeom>
                    <a:noFill/>
                    <a:ln w="9525">
                      <a:noFill/>
                      <a:miter lim="800000"/>
                      <a:headEnd/>
                      <a:tailEnd/>
                    </a:ln>
                  </pic:spPr>
                </pic:pic>
              </a:graphicData>
            </a:graphic>
          </wp:anchor>
        </w:drawing>
      </w:r>
    </w:p>
    <w:p w:rsidR="005B22AF" w:rsidRDefault="00616100" w:rsidP="00616100">
      <w:pPr>
        <w:rPr>
          <w:rFonts w:ascii="Arial" w:eastAsia="Times" w:hAnsi="Arial" w:cs="Arial"/>
          <w:color w:val="000000"/>
          <w:sz w:val="24"/>
          <w:szCs w:val="24"/>
        </w:rPr>
      </w:pPr>
      <w:r>
        <w:rPr>
          <w:rFonts w:ascii="Arial" w:eastAsia="Times" w:hAnsi="Arial" w:cs="Arial"/>
          <w:color w:val="000000"/>
          <w:sz w:val="24"/>
          <w:szCs w:val="24"/>
        </w:rPr>
        <w:t>Lecture note</w:t>
      </w:r>
      <w:r w:rsidRPr="00C5424A">
        <w:rPr>
          <w:rFonts w:ascii="Arial" w:eastAsia="Times" w:hAnsi="Arial" w:cs="Arial"/>
          <w:color w:val="000000"/>
          <w:sz w:val="24"/>
          <w:szCs w:val="24"/>
        </w:rPr>
        <w:t xml:space="preserve">s have a different symbol in the upper </w:t>
      </w:r>
      <w:r>
        <w:rPr>
          <w:rFonts w:ascii="Arial" w:eastAsia="Times" w:hAnsi="Arial" w:cs="Arial"/>
          <w:color w:val="000000"/>
          <w:sz w:val="24"/>
          <w:szCs w:val="24"/>
        </w:rPr>
        <w:t>right hand corner.  The symbol looks like this:</w:t>
      </w:r>
    </w:p>
    <w:p w:rsidR="006C1D80" w:rsidRDefault="006C1D80" w:rsidP="006C1D80">
      <w:pPr>
        <w:spacing w:line="240" w:lineRule="auto"/>
        <w:rPr>
          <w:rFonts w:ascii="Arial" w:hAnsi="Arial" w:cs="Arial"/>
          <w:sz w:val="24"/>
          <w:szCs w:val="24"/>
        </w:rPr>
      </w:pPr>
      <w:r>
        <w:rPr>
          <w:rFonts w:ascii="Arial" w:hAnsi="Arial" w:cs="Arial"/>
          <w:sz w:val="24"/>
          <w:szCs w:val="24"/>
        </w:rPr>
        <w:lastRenderedPageBreak/>
        <w:t>Many thanks to the Oregon Career Information and Cheryl Buhl, who provided me the opportunity to develop curriculum-writing skills during eighteen years of my work life. The roots of several of the activities contained here within began many years ago with Oregon CIS.</w:t>
      </w:r>
    </w:p>
    <w:p w:rsidR="006C1D80" w:rsidRDefault="006C1D80" w:rsidP="00616100"/>
    <w:sectPr w:rsidR="006C1D80" w:rsidSect="005B22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0A5" w:rsidRDefault="00BB30A5" w:rsidP="00616100">
      <w:pPr>
        <w:spacing w:after="0" w:line="240" w:lineRule="auto"/>
      </w:pPr>
      <w:r>
        <w:separator/>
      </w:r>
    </w:p>
  </w:endnote>
  <w:endnote w:type="continuationSeparator" w:id="1">
    <w:p w:rsidR="00BB30A5" w:rsidRDefault="00BB30A5" w:rsidP="00616100">
      <w:pPr>
        <w:spacing w:after="0" w:line="240" w:lineRule="auto"/>
      </w:pPr>
      <w:r>
        <w:continuationSeparator/>
      </w:r>
    </w:p>
  </w:endnote>
  <w:endnote w:id="2">
    <w:p w:rsidR="00616100" w:rsidRPr="00027BCB" w:rsidRDefault="00616100" w:rsidP="00616100">
      <w:pPr>
        <w:pStyle w:val="EndnoteText"/>
        <w:rPr>
          <w:sz w:val="18"/>
          <w:szCs w:val="18"/>
        </w:rPr>
      </w:pPr>
      <w:r w:rsidRPr="00AB66AE">
        <w:rPr>
          <w:rStyle w:val="EndnoteReference"/>
        </w:rPr>
        <w:endnoteRef/>
      </w:r>
      <w:r w:rsidRPr="00AB66AE">
        <w:t xml:space="preserve"> </w:t>
      </w:r>
      <w:r w:rsidRPr="00027BCB">
        <w:rPr>
          <w:sz w:val="18"/>
          <w:szCs w:val="18"/>
        </w:rPr>
        <w:t>Zunker, V. (1998). Career counseling: applied concepts of life planning.  Brooks/Cole Publishing: Pacific Grove, CO.</w:t>
      </w:r>
      <w:r>
        <w:rPr>
          <w:sz w:val="18"/>
          <w:szCs w:val="18"/>
        </w:rPr>
        <w:t xml:space="preserve"> page 259.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0A5" w:rsidRDefault="00BB30A5" w:rsidP="00616100">
      <w:pPr>
        <w:spacing w:after="0" w:line="240" w:lineRule="auto"/>
      </w:pPr>
      <w:r>
        <w:separator/>
      </w:r>
    </w:p>
  </w:footnote>
  <w:footnote w:type="continuationSeparator" w:id="1">
    <w:p w:rsidR="00BB30A5" w:rsidRDefault="00BB30A5" w:rsidP="006161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6100"/>
    <w:rsid w:val="00064823"/>
    <w:rsid w:val="000962CE"/>
    <w:rsid w:val="004C0546"/>
    <w:rsid w:val="004E731E"/>
    <w:rsid w:val="005B22AF"/>
    <w:rsid w:val="00616100"/>
    <w:rsid w:val="006C1D80"/>
    <w:rsid w:val="00996949"/>
    <w:rsid w:val="00BB30A5"/>
    <w:rsid w:val="00BE74D4"/>
    <w:rsid w:val="00FF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00"/>
    <w:rPr>
      <w:rFonts w:ascii="Calibri" w:eastAsia="Calibri" w:hAnsi="Calibri" w:cs="Times New Roman"/>
    </w:rPr>
  </w:style>
  <w:style w:type="paragraph" w:styleId="Heading2">
    <w:name w:val="heading 2"/>
    <w:basedOn w:val="Normal"/>
    <w:next w:val="Normal"/>
    <w:link w:val="Heading2Char"/>
    <w:qFormat/>
    <w:rsid w:val="00616100"/>
    <w:pPr>
      <w:keepNext/>
      <w:spacing w:after="0" w:line="240" w:lineRule="auto"/>
      <w:outlineLvl w:val="1"/>
    </w:pPr>
    <w:rPr>
      <w:rFonts w:ascii="Times" w:eastAsia="Times" w:hAnsi="Times"/>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6100"/>
    <w:rPr>
      <w:rFonts w:ascii="Times" w:eastAsia="Times" w:hAnsi="Times" w:cs="Times New Roman"/>
      <w:b/>
      <w:color w:val="000000"/>
      <w:sz w:val="24"/>
      <w:szCs w:val="20"/>
    </w:rPr>
  </w:style>
  <w:style w:type="paragraph" w:styleId="EndnoteText">
    <w:name w:val="endnote text"/>
    <w:basedOn w:val="Normal"/>
    <w:link w:val="EndnoteTextChar"/>
    <w:uiPriority w:val="99"/>
    <w:semiHidden/>
    <w:unhideWhenUsed/>
    <w:rsid w:val="00616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10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16100"/>
    <w:rPr>
      <w:vertAlign w:val="superscript"/>
    </w:rPr>
  </w:style>
  <w:style w:type="paragraph" w:styleId="BalloonText">
    <w:name w:val="Balloon Text"/>
    <w:basedOn w:val="Normal"/>
    <w:link w:val="BalloonTextChar"/>
    <w:uiPriority w:val="99"/>
    <w:semiHidden/>
    <w:unhideWhenUsed/>
    <w:rsid w:val="0061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0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Roudebush</dc:creator>
  <cp:lastModifiedBy>Susan</cp:lastModifiedBy>
  <cp:revision>5</cp:revision>
  <dcterms:created xsi:type="dcterms:W3CDTF">2009-04-02T22:25:00Z</dcterms:created>
  <dcterms:modified xsi:type="dcterms:W3CDTF">2009-04-02T22:29:00Z</dcterms:modified>
</cp:coreProperties>
</file>